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0A" w:rsidRPr="00B819AD" w:rsidRDefault="0048440A" w:rsidP="0048440A">
      <w:pPr>
        <w:pStyle w:val="Header"/>
        <w:jc w:val="center"/>
        <w:rPr>
          <w:rFonts w:cs="Arial"/>
          <w:color w:val="FF0000"/>
          <w:sz w:val="36"/>
          <w:szCs w:val="36"/>
        </w:rPr>
      </w:pPr>
      <w:r>
        <w:rPr>
          <w:rFonts w:ascii="Palatino Linotype" w:hAnsi="Palatino Linotype" w:cs="Arial"/>
          <w:noProof/>
          <w:sz w:val="20"/>
          <w:lang w:eastAsia="es-DO"/>
        </w:rPr>
        <w:drawing>
          <wp:inline distT="0" distB="0" distL="0" distR="0">
            <wp:extent cx="628650" cy="64770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40A" w:rsidRPr="000028DF" w:rsidRDefault="0048440A" w:rsidP="0048440A">
      <w:pPr>
        <w:pStyle w:val="Header"/>
        <w:jc w:val="center"/>
        <w:rPr>
          <w:rFonts w:cs="Arial"/>
          <w:color w:val="FF0000"/>
          <w:sz w:val="18"/>
          <w:szCs w:val="18"/>
        </w:rPr>
      </w:pPr>
      <w:r w:rsidRPr="000028DF">
        <w:rPr>
          <w:rFonts w:cs="Arial"/>
          <w:sz w:val="18"/>
          <w:szCs w:val="18"/>
        </w:rPr>
        <w:t>REPUBLICA DOMINICANA</w:t>
      </w:r>
    </w:p>
    <w:p w:rsidR="0048440A" w:rsidRDefault="0048440A" w:rsidP="0048440A">
      <w:pPr>
        <w:pStyle w:val="Header"/>
        <w:jc w:val="center"/>
        <w:rPr>
          <w:rFonts w:cs="Arial"/>
          <w:b/>
          <w:bCs/>
        </w:rPr>
      </w:pPr>
      <w:r w:rsidRPr="000028DF">
        <w:rPr>
          <w:rFonts w:cs="Arial"/>
          <w:b/>
          <w:bCs/>
        </w:rPr>
        <w:t xml:space="preserve">MINISTERIO DE </w:t>
      </w:r>
      <w:r>
        <w:rPr>
          <w:rFonts w:cs="Arial"/>
          <w:b/>
          <w:bCs/>
        </w:rPr>
        <w:t>TRABAJO</w:t>
      </w:r>
    </w:p>
    <w:p w:rsidR="0048440A" w:rsidRPr="00C671D8" w:rsidRDefault="0048440A" w:rsidP="0048440A">
      <w:pPr>
        <w:pStyle w:val="Header"/>
        <w:jc w:val="center"/>
        <w:rPr>
          <w:rFonts w:ascii="Edwardian Script ITC" w:hAnsi="Edwardian Script ITC" w:cs="Arial"/>
          <w:b/>
          <w:i/>
          <w:sz w:val="32"/>
          <w:szCs w:val="32"/>
        </w:rPr>
      </w:pPr>
      <w:r w:rsidRPr="00C671D8">
        <w:rPr>
          <w:rFonts w:ascii="Edwardian Script ITC" w:hAnsi="Edwardian Script ITC" w:cs="Arial"/>
          <w:b/>
          <w:i/>
          <w:sz w:val="32"/>
          <w:szCs w:val="32"/>
        </w:rPr>
        <w:t xml:space="preserve">“Año del </w:t>
      </w:r>
      <w:r w:rsidR="00F0028D">
        <w:rPr>
          <w:rFonts w:ascii="Edwardian Script ITC" w:hAnsi="Edwardian Script ITC" w:cs="Arial"/>
          <w:b/>
          <w:i/>
          <w:sz w:val="32"/>
          <w:szCs w:val="32"/>
        </w:rPr>
        <w:t xml:space="preserve"> Fomento de las Exportaciones “</w:t>
      </w:r>
    </w:p>
    <w:p w:rsidR="0048440A" w:rsidRPr="004D4D11" w:rsidRDefault="0048440A" w:rsidP="0048440A">
      <w:pPr>
        <w:spacing w:after="0" w:line="240" w:lineRule="auto"/>
        <w:jc w:val="right"/>
        <w:rPr>
          <w:rFonts w:ascii="Arial Narrow" w:hAnsi="Arial Narrow"/>
        </w:rPr>
      </w:pPr>
    </w:p>
    <w:p w:rsidR="00740713" w:rsidRPr="004D4D11" w:rsidRDefault="00740713" w:rsidP="00740713">
      <w:pPr>
        <w:jc w:val="center"/>
        <w:rPr>
          <w:rFonts w:ascii="Arial Narrow" w:hAnsi="Arial Narrow" w:cs="Times New Roman"/>
          <w:b/>
          <w:u w:val="single"/>
        </w:rPr>
      </w:pPr>
      <w:r w:rsidRPr="004D4D11">
        <w:rPr>
          <w:rFonts w:ascii="Arial Narrow" w:hAnsi="Arial Narrow" w:cs="Times New Roman"/>
          <w:b/>
          <w:u w:val="single"/>
        </w:rPr>
        <w:t>FICHA TÉCNICA/ESPECIFICACIONES TÉCNICAS</w:t>
      </w:r>
    </w:p>
    <w:p w:rsidR="00740713" w:rsidRPr="00C42594" w:rsidRDefault="00740713" w:rsidP="00740713">
      <w:pPr>
        <w:jc w:val="both"/>
        <w:rPr>
          <w:rFonts w:ascii="Arial Narrow" w:hAnsi="Arial Narrow" w:cs="Times New Roman"/>
          <w:b/>
          <w:u w:val="single"/>
          <w:lang w:val="es-ES"/>
        </w:rPr>
      </w:pPr>
      <w:r w:rsidRPr="004D4D11">
        <w:rPr>
          <w:rFonts w:ascii="Arial Narrow" w:hAnsi="Arial Narrow" w:cs="Times New Roman"/>
          <w:b/>
          <w:color w:val="000000"/>
        </w:rPr>
        <w:t xml:space="preserve">SERVICIOS DE MANTENIMIENTO Y REPARACIONES DE CONSTRUCCIONES E INSTALACIONES: REPARACIÓN, ADECUACIÓN Y PINTURA EXTERIOR DEL EDIFICIO QUE ALOJA LA SEDE PRINCIPAL </w:t>
      </w:r>
      <w:r w:rsidRPr="00C42594">
        <w:rPr>
          <w:rFonts w:ascii="Arial Narrow" w:hAnsi="Arial Narrow" w:cs="Times New Roman"/>
          <w:b/>
          <w:color w:val="000000"/>
          <w:u w:val="single"/>
        </w:rPr>
        <w:t xml:space="preserve">DEL MINISTERIO DE TRABAJO, Y SUS ANEXIDADES. </w:t>
      </w:r>
      <w:r w:rsidRPr="00C42594">
        <w:rPr>
          <w:rFonts w:ascii="Arial Narrow" w:hAnsi="Arial Narrow" w:cs="Times New Roman"/>
          <w:b/>
          <w:u w:val="single"/>
          <w:lang w:val="es-ES"/>
        </w:rPr>
        <w:t xml:space="preserve"> - - - - - - - - - - - - - - - - - - - - - - - - -  - - - - - - - - - - - </w:t>
      </w:r>
    </w:p>
    <w:p w:rsidR="00217B4D" w:rsidRPr="004D4D11" w:rsidRDefault="00740713" w:rsidP="00740713">
      <w:pPr>
        <w:spacing w:line="240" w:lineRule="auto"/>
        <w:jc w:val="both"/>
        <w:rPr>
          <w:rFonts w:ascii="Arial Narrow" w:hAnsi="Arial Narrow" w:cs="Times New Roman"/>
          <w:b/>
          <w:lang w:val="es-ES"/>
        </w:rPr>
      </w:pPr>
      <w:r w:rsidRPr="004D4D11">
        <w:rPr>
          <w:rFonts w:ascii="Arial Narrow" w:hAnsi="Arial Narrow" w:cs="Times New Roman"/>
          <w:lang w:val="es-ES"/>
        </w:rPr>
        <w:t xml:space="preserve">Los servicios que se requieren comprenden los aspectos de </w:t>
      </w:r>
      <w:r w:rsidRPr="004D4D11">
        <w:rPr>
          <w:rFonts w:ascii="Arial Narrow" w:hAnsi="Arial Narrow" w:cs="Times New Roman"/>
          <w:b/>
          <w:lang w:val="es-ES"/>
        </w:rPr>
        <w:t>mantenimiento, reparación y pintura exterior del edificio princi</w:t>
      </w:r>
      <w:r w:rsidR="00217B4D" w:rsidRPr="004D4D11">
        <w:rPr>
          <w:rFonts w:ascii="Arial Narrow" w:hAnsi="Arial Narrow" w:cs="Times New Roman"/>
          <w:b/>
          <w:lang w:val="es-ES"/>
        </w:rPr>
        <w:t>pal que aloja la sede principal del Ministerio de T</w:t>
      </w:r>
      <w:r w:rsidRPr="004D4D11">
        <w:rPr>
          <w:rFonts w:ascii="Arial Narrow" w:hAnsi="Arial Narrow" w:cs="Times New Roman"/>
          <w:b/>
          <w:lang w:val="es-ES"/>
        </w:rPr>
        <w:t xml:space="preserve">rabajo: áreas norte, sur, este y oeste, incluyendo el edificio del </w:t>
      </w:r>
      <w:r w:rsidR="00217B4D" w:rsidRPr="004D4D11">
        <w:rPr>
          <w:rFonts w:ascii="Arial Narrow" w:hAnsi="Arial Narrow" w:cs="Times New Roman"/>
          <w:b/>
          <w:lang w:val="es-ES"/>
        </w:rPr>
        <w:t>Servicio Nacional de Empleo (</w:t>
      </w:r>
      <w:r w:rsidRPr="004D4D11">
        <w:rPr>
          <w:rFonts w:ascii="Arial Narrow" w:hAnsi="Arial Narrow" w:cs="Times New Roman"/>
          <w:b/>
          <w:lang w:val="es-ES"/>
        </w:rPr>
        <w:t>SENAE</w:t>
      </w:r>
      <w:r w:rsidR="00217B4D" w:rsidRPr="004D4D11">
        <w:rPr>
          <w:rFonts w:ascii="Arial Narrow" w:hAnsi="Arial Narrow" w:cs="Times New Roman"/>
          <w:b/>
          <w:lang w:val="es-ES"/>
        </w:rPr>
        <w:t>), las paredes y verjas</w:t>
      </w:r>
      <w:r w:rsidRPr="004D4D11">
        <w:rPr>
          <w:rFonts w:ascii="Arial Narrow" w:hAnsi="Arial Narrow" w:cs="Times New Roman"/>
          <w:b/>
          <w:lang w:val="es-ES"/>
        </w:rPr>
        <w:t xml:space="preserve"> perimetral</w:t>
      </w:r>
      <w:r w:rsidR="00217B4D" w:rsidRPr="004D4D11">
        <w:rPr>
          <w:rFonts w:ascii="Arial Narrow" w:hAnsi="Arial Narrow" w:cs="Times New Roman"/>
          <w:b/>
          <w:lang w:val="es-ES"/>
        </w:rPr>
        <w:t>es</w:t>
      </w:r>
      <w:r w:rsidRPr="004D4D11">
        <w:rPr>
          <w:rFonts w:ascii="Arial Narrow" w:hAnsi="Arial Narrow" w:cs="Times New Roman"/>
          <w:b/>
          <w:lang w:val="es-ES"/>
        </w:rPr>
        <w:t xml:space="preserve"> y todas sus anexidades. </w:t>
      </w:r>
    </w:p>
    <w:p w:rsidR="00217B4D" w:rsidRPr="004D4D11" w:rsidRDefault="00217B4D" w:rsidP="00217B4D">
      <w:pPr>
        <w:spacing w:after="0" w:line="240" w:lineRule="auto"/>
        <w:jc w:val="both"/>
        <w:rPr>
          <w:rFonts w:ascii="Arial Narrow" w:hAnsi="Arial Narrow" w:cs="Times New Roman"/>
        </w:rPr>
      </w:pPr>
      <w:r w:rsidRPr="004D4D11">
        <w:rPr>
          <w:rFonts w:ascii="Arial Narrow" w:hAnsi="Arial Narrow" w:cs="Times New Roman"/>
        </w:rPr>
        <w:t>El oferente</w:t>
      </w:r>
      <w:r w:rsidR="004D4D11" w:rsidRPr="004D4D11">
        <w:rPr>
          <w:rFonts w:ascii="Arial Narrow" w:hAnsi="Arial Narrow" w:cs="Times New Roman"/>
        </w:rPr>
        <w:t>,</w:t>
      </w:r>
      <w:r w:rsidRPr="004D4D11">
        <w:rPr>
          <w:rFonts w:ascii="Arial Narrow" w:hAnsi="Arial Narrow" w:cs="Times New Roman"/>
        </w:rPr>
        <w:t xml:space="preserve"> </w:t>
      </w:r>
      <w:r w:rsidR="004D4D11" w:rsidRPr="004D4D11">
        <w:rPr>
          <w:rFonts w:ascii="Arial Narrow" w:hAnsi="Arial Narrow" w:cs="Times New Roman"/>
        </w:rPr>
        <w:t xml:space="preserve">para la ejecución del servicio que se contrata, </w:t>
      </w:r>
      <w:r w:rsidRPr="004D4D11">
        <w:rPr>
          <w:rFonts w:ascii="Arial Narrow" w:hAnsi="Arial Narrow" w:cs="Times New Roman"/>
        </w:rPr>
        <w:t xml:space="preserve">tiene la obligación de disponer de todo el personal, los materiales, insumos, herramientas, instrumentos y transporte necesarios; por lo que todos estos aspectos deben </w:t>
      </w:r>
      <w:r w:rsidR="004D4D11" w:rsidRPr="004D4D11">
        <w:rPr>
          <w:rFonts w:ascii="Arial Narrow" w:hAnsi="Arial Narrow" w:cs="Times New Roman"/>
        </w:rPr>
        <w:t xml:space="preserve">de estar </w:t>
      </w:r>
      <w:r w:rsidRPr="004D4D11">
        <w:rPr>
          <w:rFonts w:ascii="Arial Narrow" w:hAnsi="Arial Narrow" w:cs="Times New Roman"/>
        </w:rPr>
        <w:t>contemplados en la oferta técnica y económica</w:t>
      </w:r>
      <w:r w:rsidR="004D4D11" w:rsidRPr="004D4D11">
        <w:rPr>
          <w:rFonts w:ascii="Arial Narrow" w:hAnsi="Arial Narrow" w:cs="Times New Roman"/>
        </w:rPr>
        <w:t xml:space="preserve"> presentada</w:t>
      </w:r>
      <w:r w:rsidRPr="004D4D11">
        <w:rPr>
          <w:rFonts w:ascii="Arial Narrow" w:hAnsi="Arial Narrow" w:cs="Times New Roman"/>
        </w:rPr>
        <w:t xml:space="preserve">. En este sentido, el Ministerio de Trabajo no suministrará al oferente que resulte adjudicatario ni personal, ni materiales, ni insumos, ni herramientas, ni transporte para la ejecución de los </w:t>
      </w:r>
      <w:r w:rsidR="004D4D11" w:rsidRPr="004D4D11">
        <w:rPr>
          <w:rFonts w:ascii="Arial Narrow" w:hAnsi="Arial Narrow" w:cs="Times New Roman"/>
        </w:rPr>
        <w:t xml:space="preserve">servicios o </w:t>
      </w:r>
      <w:r w:rsidRPr="004D4D11">
        <w:rPr>
          <w:rFonts w:ascii="Arial Narrow" w:hAnsi="Arial Narrow" w:cs="Times New Roman"/>
        </w:rPr>
        <w:t xml:space="preserve">trabajos.  </w:t>
      </w:r>
    </w:p>
    <w:p w:rsidR="00217B4D" w:rsidRPr="004D4D11" w:rsidRDefault="00217B4D" w:rsidP="00217B4D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740713" w:rsidRPr="004D4D11" w:rsidRDefault="00740713" w:rsidP="004D4D11">
      <w:pPr>
        <w:spacing w:after="0" w:line="240" w:lineRule="auto"/>
        <w:jc w:val="both"/>
        <w:rPr>
          <w:rFonts w:ascii="Arial Narrow" w:hAnsi="Arial Narrow" w:cs="Times New Roman"/>
        </w:rPr>
      </w:pPr>
      <w:r w:rsidRPr="004D4D11">
        <w:rPr>
          <w:rFonts w:ascii="Arial Narrow" w:hAnsi="Arial Narrow" w:cs="Times New Roman"/>
          <w:lang w:val="es-ES"/>
        </w:rPr>
        <w:t xml:space="preserve">Por su naturaleza, estos servicios deberán ser realizados en dos (2) etapas consecutivas, quedando entendido que la segunda etapa se realizará </w:t>
      </w:r>
      <w:r w:rsidRPr="004D4D11">
        <w:rPr>
          <w:rFonts w:ascii="Arial Narrow" w:hAnsi="Arial Narrow" w:cs="Times New Roman"/>
        </w:rPr>
        <w:t xml:space="preserve">cuando se hayan concluido satisfactoriamente los trabajos de la primera etapa. </w:t>
      </w:r>
    </w:p>
    <w:p w:rsidR="004D4D11" w:rsidRPr="004D4D11" w:rsidRDefault="004D4D11" w:rsidP="004D4D11">
      <w:pPr>
        <w:spacing w:after="0" w:line="240" w:lineRule="auto"/>
        <w:jc w:val="both"/>
        <w:rPr>
          <w:rFonts w:ascii="Arial Narrow" w:hAnsi="Arial Narrow" w:cs="Times New Roman"/>
          <w:b/>
          <w:lang w:val="es-ES"/>
        </w:rPr>
      </w:pPr>
    </w:p>
    <w:p w:rsidR="00740713" w:rsidRPr="004D4D11" w:rsidRDefault="00740713" w:rsidP="004D4D11">
      <w:pPr>
        <w:spacing w:after="0" w:line="240" w:lineRule="auto"/>
        <w:jc w:val="both"/>
        <w:rPr>
          <w:rFonts w:ascii="Arial Narrow" w:hAnsi="Arial Narrow" w:cs="Times New Roman"/>
          <w:lang w:val="es-ES"/>
        </w:rPr>
      </w:pPr>
      <w:r w:rsidRPr="004D4D11">
        <w:rPr>
          <w:rFonts w:ascii="Arial Narrow" w:hAnsi="Arial Narrow" w:cs="Times New Roman"/>
          <w:lang w:val="es-ES"/>
        </w:rPr>
        <w:t xml:space="preserve">A Saber: </w:t>
      </w:r>
    </w:p>
    <w:p w:rsidR="004D4D11" w:rsidRDefault="004D4D11" w:rsidP="004D4D11">
      <w:pPr>
        <w:spacing w:after="0"/>
        <w:rPr>
          <w:rFonts w:ascii="Arial Narrow" w:hAnsi="Arial Narrow" w:cs="Times New Roman"/>
          <w:b/>
          <w:u w:val="single"/>
          <w:lang w:val="es-ES"/>
        </w:rPr>
      </w:pPr>
    </w:p>
    <w:p w:rsidR="00740713" w:rsidRPr="004D4D11" w:rsidRDefault="00740713" w:rsidP="004D4D11">
      <w:pPr>
        <w:spacing w:after="0"/>
        <w:rPr>
          <w:rFonts w:ascii="Arial Narrow" w:hAnsi="Arial Narrow" w:cs="Times New Roman"/>
          <w:b/>
          <w:lang w:val="es-ES"/>
        </w:rPr>
      </w:pPr>
      <w:r w:rsidRPr="004D4D11">
        <w:rPr>
          <w:rFonts w:ascii="Arial Narrow" w:hAnsi="Arial Narrow" w:cs="Times New Roman"/>
          <w:b/>
          <w:u w:val="single"/>
          <w:lang w:val="es-ES"/>
        </w:rPr>
        <w:t>Etapa 1</w:t>
      </w:r>
      <w:r w:rsidRPr="004D4D11">
        <w:rPr>
          <w:rFonts w:ascii="Arial Narrow" w:hAnsi="Arial Narrow" w:cs="Times New Roman"/>
          <w:b/>
          <w:lang w:val="es-ES"/>
        </w:rPr>
        <w:t>.-) Reparación y adecuación de las áreas a ser pintadas:</w:t>
      </w:r>
    </w:p>
    <w:p w:rsidR="004D4D11" w:rsidRPr="004D4D11" w:rsidRDefault="004D4D11" w:rsidP="004D4D11">
      <w:pPr>
        <w:spacing w:after="0"/>
        <w:rPr>
          <w:rFonts w:ascii="Arial Narrow" w:hAnsi="Arial Narrow" w:cs="Times New Roman"/>
          <w:b/>
          <w:lang w:val="es-ES"/>
        </w:rPr>
      </w:pPr>
    </w:p>
    <w:p w:rsidR="00740713" w:rsidRPr="004D4D11" w:rsidRDefault="00740713" w:rsidP="00740713">
      <w:pPr>
        <w:pStyle w:val="ListParagraph"/>
        <w:numPr>
          <w:ilvl w:val="0"/>
          <w:numId w:val="14"/>
        </w:numPr>
        <w:rPr>
          <w:rFonts w:ascii="Arial Narrow" w:hAnsi="Arial Narrow" w:cs="Times New Roman"/>
        </w:rPr>
      </w:pPr>
      <w:r w:rsidRPr="004D4D11">
        <w:rPr>
          <w:rFonts w:ascii="Arial Narrow" w:hAnsi="Arial Narrow" w:cs="Times New Roman"/>
          <w:b/>
        </w:rPr>
        <w:t xml:space="preserve">Reparación de filtraciones y grietas presentes  en el exterior del edificio: </w:t>
      </w:r>
    </w:p>
    <w:p w:rsidR="00740713" w:rsidRPr="004D4D11" w:rsidRDefault="00740713" w:rsidP="00740713">
      <w:pPr>
        <w:pStyle w:val="ListParagraph"/>
        <w:rPr>
          <w:rFonts w:ascii="Arial Narrow" w:hAnsi="Arial Narrow" w:cs="Times New Roman"/>
        </w:rPr>
      </w:pPr>
    </w:p>
    <w:p w:rsidR="00740713" w:rsidRPr="004D4D11" w:rsidRDefault="00740713" w:rsidP="00740713">
      <w:pPr>
        <w:pStyle w:val="ListParagraph"/>
        <w:numPr>
          <w:ilvl w:val="0"/>
          <w:numId w:val="15"/>
        </w:numPr>
        <w:spacing w:line="240" w:lineRule="auto"/>
        <w:rPr>
          <w:rFonts w:ascii="Arial Narrow" w:hAnsi="Arial Narrow" w:cs="Times New Roman"/>
        </w:rPr>
      </w:pPr>
      <w:r w:rsidRPr="004D4D11">
        <w:rPr>
          <w:rFonts w:ascii="Arial Narrow" w:hAnsi="Arial Narrow" w:cs="Times New Roman"/>
          <w:u w:val="single"/>
        </w:rPr>
        <w:t>Corrección</w:t>
      </w:r>
      <w:r w:rsidRPr="004D4D11">
        <w:rPr>
          <w:rFonts w:ascii="Arial Narrow" w:hAnsi="Arial Narrow" w:cs="Times New Roman"/>
        </w:rPr>
        <w:t xml:space="preserve"> de grietas y/o fracturas existentes en las edificaciones,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D4D11">
        <w:rPr>
          <w:rFonts w:ascii="Arial Narrow" w:hAnsi="Arial Narrow" w:cs="Times New Roman"/>
          <w:u w:val="single"/>
        </w:rPr>
        <w:t>utilizando</w:t>
      </w:r>
      <w:r w:rsidRPr="004D4D11">
        <w:rPr>
          <w:rFonts w:ascii="Arial Narrow" w:hAnsi="Arial Narrow" w:cs="Times New Roman"/>
        </w:rPr>
        <w:t xml:space="preserve"> malla y productos base cemento tipo exterior.</w:t>
      </w:r>
    </w:p>
    <w:p w:rsidR="004D4D11" w:rsidRPr="004D4D11" w:rsidRDefault="004D4D11" w:rsidP="004D4D11">
      <w:pPr>
        <w:pStyle w:val="ListParagraph"/>
        <w:spacing w:line="240" w:lineRule="auto"/>
        <w:ind w:left="1500"/>
        <w:rPr>
          <w:rFonts w:ascii="Arial Narrow" w:hAnsi="Arial Narrow" w:cs="Times New Roman"/>
        </w:rPr>
      </w:pPr>
    </w:p>
    <w:p w:rsidR="00740713" w:rsidRDefault="00740713" w:rsidP="00E76258">
      <w:pPr>
        <w:pStyle w:val="ListParagraph"/>
        <w:numPr>
          <w:ilvl w:val="0"/>
          <w:numId w:val="15"/>
        </w:numPr>
        <w:spacing w:line="240" w:lineRule="auto"/>
        <w:rPr>
          <w:rFonts w:ascii="Arial Narrow" w:hAnsi="Arial Narrow" w:cs="Times New Roman"/>
        </w:rPr>
      </w:pPr>
      <w:r w:rsidRPr="004D4D11">
        <w:rPr>
          <w:rFonts w:ascii="Arial Narrow" w:hAnsi="Arial Narrow" w:cs="Times New Roman"/>
          <w:u w:val="single"/>
        </w:rPr>
        <w:t>Realizar un rasqueteo general</w:t>
      </w:r>
      <w:r w:rsidRPr="004D4D11">
        <w:rPr>
          <w:rFonts w:ascii="Arial Narrow" w:hAnsi="Arial Narrow" w:cs="Times New Roman"/>
        </w:rPr>
        <w:t xml:space="preserve"> de toda la superficie, para </w:t>
      </w:r>
      <w:r w:rsidRPr="004D4D11">
        <w:rPr>
          <w:rFonts w:ascii="Arial Narrow" w:hAnsi="Arial Narrow" w:cs="Times New Roman"/>
          <w:u w:val="single"/>
        </w:rPr>
        <w:t>desprender</w:t>
      </w:r>
      <w:r w:rsidRPr="004D4D11">
        <w:rPr>
          <w:rFonts w:ascii="Arial Narrow" w:hAnsi="Arial Narrow" w:cs="Times New Roman"/>
        </w:rPr>
        <w:t xml:space="preserve"> materiales deteriorados.</w:t>
      </w:r>
    </w:p>
    <w:p w:rsidR="00E76258" w:rsidRPr="00E76258" w:rsidRDefault="00E76258" w:rsidP="00E76258">
      <w:pPr>
        <w:pStyle w:val="ListParagraph"/>
        <w:rPr>
          <w:rFonts w:ascii="Arial Narrow" w:hAnsi="Arial Narrow" w:cs="Times New Roman"/>
        </w:rPr>
      </w:pPr>
    </w:p>
    <w:p w:rsidR="00E76258" w:rsidRPr="00E76258" w:rsidRDefault="00E76258" w:rsidP="00E76258">
      <w:pPr>
        <w:pStyle w:val="ListParagraph"/>
        <w:spacing w:line="240" w:lineRule="auto"/>
        <w:ind w:left="1500"/>
        <w:rPr>
          <w:rFonts w:ascii="Arial Narrow" w:hAnsi="Arial Narrow" w:cs="Times New Roman"/>
        </w:rPr>
      </w:pPr>
    </w:p>
    <w:p w:rsidR="00740713" w:rsidRPr="004D4D11" w:rsidRDefault="00740713" w:rsidP="00740713">
      <w:pPr>
        <w:pStyle w:val="ListParagraph"/>
        <w:numPr>
          <w:ilvl w:val="0"/>
          <w:numId w:val="14"/>
        </w:numPr>
        <w:rPr>
          <w:rFonts w:ascii="Arial Narrow" w:hAnsi="Arial Narrow" w:cs="Times New Roman"/>
        </w:rPr>
      </w:pPr>
      <w:r w:rsidRPr="004D4D11">
        <w:rPr>
          <w:rFonts w:ascii="Arial Narrow" w:hAnsi="Arial Narrow" w:cs="Times New Roman"/>
          <w:b/>
        </w:rPr>
        <w:t>Sujeción de ventanas y tratamiento con silicón:</w:t>
      </w:r>
    </w:p>
    <w:p w:rsidR="00740713" w:rsidRPr="004D4D11" w:rsidRDefault="00740713" w:rsidP="00740713">
      <w:pPr>
        <w:pStyle w:val="ListParagraph"/>
        <w:rPr>
          <w:rFonts w:ascii="Arial Narrow" w:hAnsi="Arial Narrow" w:cs="Times New Roman"/>
        </w:rPr>
      </w:pPr>
      <w:r w:rsidRPr="004D4D11">
        <w:rPr>
          <w:rFonts w:ascii="Arial Narrow" w:hAnsi="Arial Narrow" w:cs="Times New Roman"/>
          <w:b/>
        </w:rPr>
        <w:t xml:space="preserve"> </w:t>
      </w:r>
    </w:p>
    <w:p w:rsidR="00740713" w:rsidRPr="004D4D11" w:rsidRDefault="00740713" w:rsidP="00740713">
      <w:pPr>
        <w:pStyle w:val="ListParagraph"/>
        <w:numPr>
          <w:ilvl w:val="0"/>
          <w:numId w:val="16"/>
        </w:numPr>
        <w:spacing w:line="240" w:lineRule="auto"/>
        <w:rPr>
          <w:rFonts w:ascii="Arial Narrow" w:hAnsi="Arial Narrow" w:cs="Times New Roman"/>
        </w:rPr>
      </w:pPr>
      <w:r w:rsidRPr="004D4D11">
        <w:rPr>
          <w:rFonts w:ascii="Arial Narrow" w:hAnsi="Arial Narrow" w:cs="Times New Roman"/>
          <w:u w:val="single"/>
        </w:rPr>
        <w:t>Revisar</w:t>
      </w:r>
      <w:r w:rsidRPr="004D4D11">
        <w:rPr>
          <w:rFonts w:ascii="Arial Narrow" w:hAnsi="Arial Narrow" w:cs="Times New Roman"/>
        </w:rPr>
        <w:t xml:space="preserve"> los marcos de </w:t>
      </w:r>
      <w:r w:rsidR="002F73AA">
        <w:rPr>
          <w:rFonts w:ascii="Arial Narrow" w:hAnsi="Arial Narrow" w:cs="Times New Roman"/>
        </w:rPr>
        <w:t xml:space="preserve">todas </w:t>
      </w:r>
      <w:r w:rsidRPr="004D4D11">
        <w:rPr>
          <w:rFonts w:ascii="Arial Narrow" w:hAnsi="Arial Narrow" w:cs="Times New Roman"/>
        </w:rPr>
        <w:t xml:space="preserve">las ventanas y </w:t>
      </w:r>
      <w:r w:rsidRPr="004D4D11">
        <w:rPr>
          <w:rFonts w:ascii="Arial Narrow" w:hAnsi="Arial Narrow" w:cs="Times New Roman"/>
          <w:u w:val="single"/>
        </w:rPr>
        <w:t>corregir</w:t>
      </w:r>
      <w:r w:rsidRPr="004D4D11">
        <w:rPr>
          <w:rFonts w:ascii="Arial Narrow" w:hAnsi="Arial Narrow" w:cs="Times New Roman"/>
        </w:rPr>
        <w:t xml:space="preserve"> los que estén sueltos o con problemas de fijación al muro.</w:t>
      </w:r>
    </w:p>
    <w:p w:rsidR="004D4D11" w:rsidRPr="004D4D11" w:rsidRDefault="004D4D11" w:rsidP="004D4D11">
      <w:pPr>
        <w:pStyle w:val="ListParagraph"/>
        <w:spacing w:line="240" w:lineRule="auto"/>
        <w:ind w:left="1440"/>
        <w:rPr>
          <w:rFonts w:ascii="Arial Narrow" w:hAnsi="Arial Narrow" w:cs="Times New Roman"/>
        </w:rPr>
      </w:pPr>
    </w:p>
    <w:p w:rsidR="00740713" w:rsidRPr="004D4D11" w:rsidRDefault="00740713" w:rsidP="00740713">
      <w:pPr>
        <w:pStyle w:val="ListParagraph"/>
        <w:numPr>
          <w:ilvl w:val="0"/>
          <w:numId w:val="16"/>
        </w:numPr>
        <w:spacing w:line="240" w:lineRule="auto"/>
        <w:rPr>
          <w:rFonts w:ascii="Arial Narrow" w:hAnsi="Arial Narrow" w:cs="Times New Roman"/>
        </w:rPr>
      </w:pPr>
      <w:r w:rsidRPr="004D4D11">
        <w:rPr>
          <w:rFonts w:ascii="Arial Narrow" w:hAnsi="Arial Narrow" w:cs="Times New Roman"/>
          <w:u w:val="single"/>
        </w:rPr>
        <w:t>Remover</w:t>
      </w:r>
      <w:r w:rsidRPr="004D4D11">
        <w:rPr>
          <w:rFonts w:ascii="Arial Narrow" w:hAnsi="Arial Narrow" w:cs="Times New Roman"/>
        </w:rPr>
        <w:t xml:space="preserve"> el silicón deteriorado en el interior/exterior </w:t>
      </w:r>
      <w:r w:rsidR="002F73AA">
        <w:rPr>
          <w:rFonts w:ascii="Arial Narrow" w:hAnsi="Arial Narrow" w:cs="Times New Roman"/>
        </w:rPr>
        <w:t xml:space="preserve">de todas las ventanas </w:t>
      </w:r>
      <w:r w:rsidRPr="004D4D11">
        <w:rPr>
          <w:rFonts w:ascii="Arial Narrow" w:hAnsi="Arial Narrow" w:cs="Times New Roman"/>
        </w:rPr>
        <w:t xml:space="preserve">y </w:t>
      </w:r>
      <w:r w:rsidRPr="004D4D11">
        <w:rPr>
          <w:rFonts w:ascii="Arial Narrow" w:hAnsi="Arial Narrow" w:cs="Times New Roman"/>
          <w:u w:val="single"/>
        </w:rPr>
        <w:t>reemplazarlo</w:t>
      </w:r>
      <w:r w:rsidRPr="004D4D11">
        <w:rPr>
          <w:rFonts w:ascii="Arial Narrow" w:hAnsi="Arial Narrow" w:cs="Times New Roman"/>
        </w:rPr>
        <w:t xml:space="preserve"> por silicón de uretano tipo exterior color blanco.</w:t>
      </w:r>
    </w:p>
    <w:p w:rsidR="00740713" w:rsidRPr="004D4D11" w:rsidRDefault="00740713" w:rsidP="00740713">
      <w:pPr>
        <w:pStyle w:val="ListParagraph"/>
        <w:rPr>
          <w:rFonts w:ascii="Arial Narrow" w:hAnsi="Arial Narrow" w:cs="Times New Roman"/>
          <w:b/>
        </w:rPr>
      </w:pPr>
    </w:p>
    <w:p w:rsidR="004D4D11" w:rsidRDefault="004D4D11" w:rsidP="00740713">
      <w:pPr>
        <w:pStyle w:val="ListParagraph"/>
        <w:rPr>
          <w:rFonts w:ascii="Arial Narrow" w:hAnsi="Arial Narrow" w:cs="Times New Roman"/>
          <w:b/>
        </w:rPr>
      </w:pPr>
    </w:p>
    <w:p w:rsidR="00C42594" w:rsidRDefault="00C42594" w:rsidP="00740713">
      <w:pPr>
        <w:pStyle w:val="ListParagraph"/>
        <w:rPr>
          <w:rFonts w:ascii="Arial Narrow" w:hAnsi="Arial Narrow" w:cs="Times New Roman"/>
          <w:b/>
        </w:rPr>
      </w:pPr>
    </w:p>
    <w:p w:rsidR="00C42594" w:rsidRPr="004D4D11" w:rsidRDefault="00C42594" w:rsidP="00740713">
      <w:pPr>
        <w:pStyle w:val="ListParagraph"/>
        <w:rPr>
          <w:rFonts w:ascii="Arial Narrow" w:hAnsi="Arial Narrow" w:cs="Times New Roman"/>
          <w:b/>
        </w:rPr>
      </w:pPr>
    </w:p>
    <w:p w:rsidR="004D4D11" w:rsidRPr="004D4D11" w:rsidRDefault="004D4D11" w:rsidP="00740713">
      <w:pPr>
        <w:pStyle w:val="ListParagraph"/>
        <w:rPr>
          <w:rFonts w:ascii="Arial Narrow" w:hAnsi="Arial Narrow" w:cs="Times New Roman"/>
          <w:b/>
        </w:rPr>
      </w:pPr>
    </w:p>
    <w:p w:rsidR="00740713" w:rsidRPr="004D4D11" w:rsidRDefault="00740713" w:rsidP="00740713">
      <w:pPr>
        <w:pStyle w:val="ListParagraph"/>
        <w:numPr>
          <w:ilvl w:val="0"/>
          <w:numId w:val="14"/>
        </w:numPr>
        <w:rPr>
          <w:rFonts w:ascii="Arial Narrow" w:hAnsi="Arial Narrow" w:cs="Times New Roman"/>
          <w:b/>
        </w:rPr>
      </w:pPr>
      <w:r w:rsidRPr="004D4D11">
        <w:rPr>
          <w:rFonts w:ascii="Arial Narrow" w:hAnsi="Arial Narrow" w:cs="Times New Roman"/>
          <w:b/>
        </w:rPr>
        <w:t>Reubicación de cinco (5) tuberías y desagües pluviales y de aires acondicionados:</w:t>
      </w:r>
    </w:p>
    <w:p w:rsidR="00740713" w:rsidRPr="004D4D11" w:rsidRDefault="00740713" w:rsidP="00740713">
      <w:pPr>
        <w:pStyle w:val="ListParagraph"/>
        <w:rPr>
          <w:rFonts w:ascii="Arial Narrow" w:hAnsi="Arial Narrow" w:cs="Times New Roman"/>
          <w:b/>
        </w:rPr>
      </w:pPr>
    </w:p>
    <w:p w:rsidR="00740713" w:rsidRPr="004D4D11" w:rsidRDefault="00740713" w:rsidP="00740713">
      <w:pPr>
        <w:pStyle w:val="ListParagraph"/>
        <w:numPr>
          <w:ilvl w:val="0"/>
          <w:numId w:val="17"/>
        </w:numPr>
        <w:rPr>
          <w:rFonts w:ascii="Arial Narrow" w:hAnsi="Arial Narrow" w:cs="Times New Roman"/>
        </w:rPr>
      </w:pPr>
      <w:r w:rsidRPr="004D4D11">
        <w:rPr>
          <w:rFonts w:ascii="Arial Narrow" w:hAnsi="Arial Narrow" w:cs="Times New Roman"/>
          <w:u w:val="single"/>
        </w:rPr>
        <w:t>Incrustar</w:t>
      </w:r>
      <w:r w:rsidRPr="004D4D11">
        <w:rPr>
          <w:rFonts w:ascii="Arial Narrow" w:hAnsi="Arial Narrow" w:cs="Times New Roman"/>
        </w:rPr>
        <w:t xml:space="preserve"> las tuberías de los aires acondicionados y los desagües, dentro de los muros y nivelarlas a la superficie, con productos base cemento tipo exterior.</w:t>
      </w:r>
    </w:p>
    <w:p w:rsidR="00217B4D" w:rsidRPr="004D4D11" w:rsidRDefault="00217B4D" w:rsidP="00217B4D">
      <w:pPr>
        <w:pStyle w:val="ListParagraph"/>
        <w:ind w:left="1440"/>
        <w:rPr>
          <w:rFonts w:ascii="Arial Narrow" w:hAnsi="Arial Narrow" w:cs="Times New Roman"/>
        </w:rPr>
      </w:pPr>
    </w:p>
    <w:p w:rsidR="00740713" w:rsidRPr="004D4D11" w:rsidRDefault="00740713" w:rsidP="00740713">
      <w:pPr>
        <w:pStyle w:val="ListParagraph"/>
        <w:numPr>
          <w:ilvl w:val="0"/>
          <w:numId w:val="17"/>
        </w:numPr>
        <w:rPr>
          <w:rFonts w:ascii="Arial Narrow" w:hAnsi="Arial Narrow" w:cs="Times New Roman"/>
        </w:rPr>
      </w:pPr>
      <w:r w:rsidRPr="004D4D11">
        <w:rPr>
          <w:rFonts w:ascii="Arial Narrow" w:hAnsi="Arial Narrow" w:cs="Times New Roman"/>
          <w:u w:val="single"/>
        </w:rPr>
        <w:t xml:space="preserve">Corregir y </w:t>
      </w:r>
      <w:proofErr w:type="spellStart"/>
      <w:r w:rsidRPr="004D4D11">
        <w:rPr>
          <w:rFonts w:ascii="Arial Narrow" w:hAnsi="Arial Narrow" w:cs="Times New Roman"/>
          <w:u w:val="single"/>
        </w:rPr>
        <w:t>redireccionar</w:t>
      </w:r>
      <w:proofErr w:type="spellEnd"/>
      <w:r w:rsidRPr="004D4D11">
        <w:rPr>
          <w:rFonts w:ascii="Arial Narrow" w:hAnsi="Arial Narrow" w:cs="Times New Roman"/>
        </w:rPr>
        <w:t>, todos los desagües pluviales y de aire</w:t>
      </w:r>
      <w:r w:rsidR="001A78E4">
        <w:rPr>
          <w:rFonts w:ascii="Arial Narrow" w:hAnsi="Arial Narrow" w:cs="Times New Roman"/>
        </w:rPr>
        <w:t>s</w:t>
      </w:r>
      <w:r w:rsidRPr="004D4D11">
        <w:rPr>
          <w:rFonts w:ascii="Arial Narrow" w:hAnsi="Arial Narrow" w:cs="Times New Roman"/>
        </w:rPr>
        <w:t xml:space="preserve"> acondicionado</w:t>
      </w:r>
      <w:r w:rsidR="001A78E4">
        <w:rPr>
          <w:rFonts w:ascii="Arial Narrow" w:hAnsi="Arial Narrow" w:cs="Times New Roman"/>
        </w:rPr>
        <w:t>s</w:t>
      </w:r>
      <w:r w:rsidRPr="004D4D11">
        <w:rPr>
          <w:rFonts w:ascii="Arial Narrow" w:hAnsi="Arial Narrow" w:cs="Times New Roman"/>
        </w:rPr>
        <w:t xml:space="preserve"> que presenten filtraciones que deterioren la fachada del edificio. </w:t>
      </w:r>
    </w:p>
    <w:p w:rsidR="00740713" w:rsidRPr="004D4D11" w:rsidRDefault="00740713" w:rsidP="00740713">
      <w:pPr>
        <w:spacing w:line="240" w:lineRule="auto"/>
        <w:jc w:val="both"/>
        <w:rPr>
          <w:rFonts w:ascii="Arial Narrow" w:hAnsi="Arial Narrow" w:cs="Times New Roman"/>
        </w:rPr>
      </w:pPr>
      <w:r w:rsidRPr="004D4D11">
        <w:rPr>
          <w:rFonts w:ascii="Arial Narrow" w:hAnsi="Arial Narrow" w:cs="Times New Roman"/>
          <w:b/>
          <w:u w:val="single"/>
          <w:lang w:val="es-ES"/>
        </w:rPr>
        <w:t>Etapa 2</w:t>
      </w:r>
      <w:r w:rsidRPr="004D4D11">
        <w:rPr>
          <w:rFonts w:ascii="Arial Narrow" w:hAnsi="Arial Narrow" w:cs="Times New Roman"/>
          <w:b/>
          <w:u w:val="single"/>
        </w:rPr>
        <w:t>.-</w:t>
      </w:r>
      <w:r w:rsidRPr="004D4D11">
        <w:rPr>
          <w:rFonts w:ascii="Arial Narrow" w:hAnsi="Arial Narrow" w:cs="Times New Roman"/>
          <w:b/>
        </w:rPr>
        <w:t xml:space="preserve">) </w:t>
      </w:r>
      <w:r w:rsidRPr="004D4D11">
        <w:rPr>
          <w:rFonts w:ascii="Arial Narrow" w:hAnsi="Arial Narrow" w:cs="Times New Roman"/>
          <w:b/>
          <w:lang w:val="es-ES"/>
        </w:rPr>
        <w:t xml:space="preserve">Pintar la parte exterior de las áreas norte, sur, este y oeste del edificio principal del Ministerio de Trabajo, incluyendo el edificio del SENAE, las paredes y verja perimetral y </w:t>
      </w:r>
      <w:r w:rsidR="004D4D11" w:rsidRPr="004D4D11">
        <w:rPr>
          <w:rFonts w:ascii="Arial Narrow" w:hAnsi="Arial Narrow" w:cs="Times New Roman"/>
          <w:b/>
          <w:lang w:val="es-ES"/>
        </w:rPr>
        <w:t>sus anexidades</w:t>
      </w:r>
      <w:r w:rsidRPr="004D4D11">
        <w:rPr>
          <w:rFonts w:ascii="Arial Narrow" w:hAnsi="Arial Narrow" w:cs="Times New Roman"/>
          <w:b/>
          <w:lang w:val="es-ES"/>
        </w:rPr>
        <w:t>.-</w:t>
      </w:r>
    </w:p>
    <w:p w:rsidR="00740713" w:rsidRPr="004D4D11" w:rsidRDefault="00740713" w:rsidP="00740713">
      <w:pPr>
        <w:pStyle w:val="ListParagraph"/>
        <w:numPr>
          <w:ilvl w:val="0"/>
          <w:numId w:val="21"/>
        </w:numPr>
        <w:rPr>
          <w:rFonts w:ascii="Arial Narrow" w:hAnsi="Arial Narrow" w:cs="Times New Roman"/>
          <w:b/>
        </w:rPr>
      </w:pPr>
      <w:r w:rsidRPr="004D4D11">
        <w:rPr>
          <w:rFonts w:ascii="Arial Narrow" w:hAnsi="Arial Narrow" w:cs="Times New Roman"/>
          <w:b/>
        </w:rPr>
        <w:t>Áreas a trabajar/pintar:</w:t>
      </w:r>
    </w:p>
    <w:p w:rsidR="00740713" w:rsidRPr="004D4D11" w:rsidRDefault="00740713" w:rsidP="00740713">
      <w:pPr>
        <w:pStyle w:val="ListParagraph"/>
        <w:rPr>
          <w:rFonts w:ascii="Arial Narrow" w:hAnsi="Arial Narrow" w:cs="Times New Roman"/>
          <w:b/>
        </w:rPr>
      </w:pPr>
    </w:p>
    <w:p w:rsidR="00740713" w:rsidRPr="004D4D11" w:rsidRDefault="00740713" w:rsidP="00740713">
      <w:pPr>
        <w:pStyle w:val="ListParagraph"/>
        <w:numPr>
          <w:ilvl w:val="0"/>
          <w:numId w:val="20"/>
        </w:numPr>
        <w:ind w:left="1560" w:hanging="709"/>
        <w:jc w:val="both"/>
        <w:rPr>
          <w:rFonts w:ascii="Arial Narrow" w:hAnsi="Arial Narrow" w:cs="Times New Roman"/>
        </w:rPr>
      </w:pPr>
      <w:r w:rsidRPr="004D4D11">
        <w:rPr>
          <w:rFonts w:ascii="Arial Narrow" w:hAnsi="Arial Narrow" w:cs="Times New Roman"/>
        </w:rPr>
        <w:t>5,057 mt² paredes del  edificio principal y del SENAE.</w:t>
      </w:r>
    </w:p>
    <w:p w:rsidR="00740713" w:rsidRPr="004D4D11" w:rsidRDefault="00740713" w:rsidP="00740713">
      <w:pPr>
        <w:pStyle w:val="ListParagraph"/>
        <w:numPr>
          <w:ilvl w:val="0"/>
          <w:numId w:val="20"/>
        </w:numPr>
        <w:ind w:left="1560" w:hanging="709"/>
        <w:jc w:val="both"/>
        <w:rPr>
          <w:rFonts w:ascii="Arial Narrow" w:hAnsi="Arial Narrow" w:cs="Times New Roman"/>
        </w:rPr>
      </w:pPr>
      <w:r w:rsidRPr="004D4D11">
        <w:rPr>
          <w:rFonts w:ascii="Arial Narrow" w:hAnsi="Arial Narrow" w:cs="Times New Roman"/>
        </w:rPr>
        <w:t>80 mt² en los techos de vuelos.</w:t>
      </w:r>
    </w:p>
    <w:p w:rsidR="00740713" w:rsidRPr="004D4D11" w:rsidRDefault="00740713" w:rsidP="00740713">
      <w:pPr>
        <w:pStyle w:val="ListParagraph"/>
        <w:numPr>
          <w:ilvl w:val="0"/>
          <w:numId w:val="20"/>
        </w:numPr>
        <w:ind w:left="1560" w:hanging="709"/>
        <w:jc w:val="both"/>
        <w:rPr>
          <w:rFonts w:ascii="Arial Narrow" w:hAnsi="Arial Narrow" w:cs="Times New Roman"/>
        </w:rPr>
      </w:pPr>
      <w:r w:rsidRPr="004D4D11">
        <w:rPr>
          <w:rFonts w:ascii="Arial Narrow" w:hAnsi="Arial Narrow" w:cs="Times New Roman"/>
        </w:rPr>
        <w:t>800 mt² de los muros y columnas de la verja.</w:t>
      </w:r>
    </w:p>
    <w:p w:rsidR="00740713" w:rsidRPr="004D4D11" w:rsidRDefault="00740713" w:rsidP="00740713">
      <w:pPr>
        <w:pStyle w:val="ListParagraph"/>
        <w:numPr>
          <w:ilvl w:val="0"/>
          <w:numId w:val="20"/>
        </w:numPr>
        <w:ind w:left="1560" w:hanging="709"/>
        <w:jc w:val="both"/>
        <w:rPr>
          <w:rFonts w:ascii="Arial Narrow" w:hAnsi="Arial Narrow" w:cs="Times New Roman"/>
        </w:rPr>
      </w:pPr>
      <w:r w:rsidRPr="004D4D11">
        <w:rPr>
          <w:rFonts w:ascii="Arial Narrow" w:hAnsi="Arial Narrow" w:cs="Times New Roman"/>
        </w:rPr>
        <w:t xml:space="preserve">460 mt² de la </w:t>
      </w:r>
      <w:r w:rsidR="002F73AA" w:rsidRPr="004D4D11">
        <w:rPr>
          <w:rFonts w:ascii="Arial Narrow" w:hAnsi="Arial Narrow" w:cs="Times New Roman"/>
        </w:rPr>
        <w:t>verja perimetral</w:t>
      </w:r>
      <w:r w:rsidRPr="004D4D11">
        <w:rPr>
          <w:rFonts w:ascii="Arial Narrow" w:hAnsi="Arial Narrow" w:cs="Times New Roman"/>
        </w:rPr>
        <w:t>.</w:t>
      </w:r>
    </w:p>
    <w:p w:rsidR="00740713" w:rsidRPr="004D4D11" w:rsidRDefault="00740713" w:rsidP="00740713">
      <w:pPr>
        <w:pStyle w:val="ListParagraph"/>
        <w:jc w:val="both"/>
        <w:rPr>
          <w:rFonts w:ascii="Arial Narrow" w:hAnsi="Arial Narrow" w:cs="Times New Roman"/>
        </w:rPr>
      </w:pPr>
    </w:p>
    <w:p w:rsidR="00740713" w:rsidRPr="004D4D11" w:rsidRDefault="00740713" w:rsidP="00740713">
      <w:pPr>
        <w:pStyle w:val="ListParagraph"/>
        <w:numPr>
          <w:ilvl w:val="0"/>
          <w:numId w:val="21"/>
        </w:numPr>
        <w:spacing w:after="0"/>
        <w:jc w:val="both"/>
        <w:rPr>
          <w:rFonts w:ascii="Arial Narrow" w:hAnsi="Arial Narrow" w:cs="Times New Roman"/>
          <w:b/>
        </w:rPr>
      </w:pPr>
      <w:r w:rsidRPr="004D4D11">
        <w:rPr>
          <w:rFonts w:ascii="Arial Narrow" w:hAnsi="Arial Narrow" w:cs="Times New Roman"/>
          <w:b/>
        </w:rPr>
        <w:t>Requerimiento técnico de la pintura:</w:t>
      </w:r>
    </w:p>
    <w:p w:rsidR="00740713" w:rsidRPr="004D4D11" w:rsidRDefault="00740713" w:rsidP="00740713">
      <w:pPr>
        <w:pStyle w:val="ListParagraph"/>
        <w:spacing w:after="0"/>
        <w:jc w:val="both"/>
        <w:rPr>
          <w:rFonts w:ascii="Arial Narrow" w:hAnsi="Arial Narrow" w:cs="Times New Roman"/>
          <w:b/>
        </w:rPr>
      </w:pPr>
    </w:p>
    <w:p w:rsidR="00740713" w:rsidRPr="004D4D11" w:rsidRDefault="00740713" w:rsidP="00740713">
      <w:pPr>
        <w:pStyle w:val="ListParagraph"/>
        <w:numPr>
          <w:ilvl w:val="0"/>
          <w:numId w:val="19"/>
        </w:numPr>
        <w:spacing w:after="0"/>
        <w:jc w:val="both"/>
        <w:rPr>
          <w:rFonts w:ascii="Arial Narrow" w:hAnsi="Arial Narrow" w:cs="Times New Roman"/>
        </w:rPr>
      </w:pPr>
      <w:r w:rsidRPr="004D4D11">
        <w:rPr>
          <w:rFonts w:ascii="Arial Narrow" w:hAnsi="Arial Narrow" w:cs="Times New Roman"/>
        </w:rPr>
        <w:t xml:space="preserve">Pintura acrílica superior o plus (de dióxido de titanio) en muros y paredes (sin mercurio ni plomo). </w:t>
      </w:r>
      <w:r w:rsidR="006772FF" w:rsidRPr="004D4D11">
        <w:rPr>
          <w:rFonts w:ascii="Arial Narrow" w:hAnsi="Arial Narrow" w:cs="Times New Roman"/>
          <w:u w:val="single"/>
        </w:rPr>
        <w:t xml:space="preserve">Estas especificaciones deben estar contenidas en </w:t>
      </w:r>
      <w:r w:rsidR="002F73AA">
        <w:rPr>
          <w:rFonts w:ascii="Arial Narrow" w:hAnsi="Arial Narrow" w:cs="Times New Roman"/>
          <w:u w:val="single"/>
        </w:rPr>
        <w:t>la presentación d</w:t>
      </w:r>
      <w:r w:rsidR="006772FF" w:rsidRPr="004D4D11">
        <w:rPr>
          <w:rFonts w:ascii="Arial Narrow" w:hAnsi="Arial Narrow" w:cs="Times New Roman"/>
          <w:u w:val="single"/>
        </w:rPr>
        <w:t>e</w:t>
      </w:r>
      <w:r w:rsidR="002F73AA">
        <w:rPr>
          <w:rFonts w:ascii="Arial Narrow" w:hAnsi="Arial Narrow" w:cs="Times New Roman"/>
          <w:u w:val="single"/>
        </w:rPr>
        <w:t xml:space="preserve">l envase de la pintura o en </w:t>
      </w:r>
      <w:r w:rsidR="006772FF" w:rsidRPr="004D4D11">
        <w:rPr>
          <w:rFonts w:ascii="Arial Narrow" w:hAnsi="Arial Narrow" w:cs="Times New Roman"/>
          <w:u w:val="single"/>
        </w:rPr>
        <w:t xml:space="preserve">certificación </w:t>
      </w:r>
      <w:r w:rsidR="002F73AA">
        <w:rPr>
          <w:rFonts w:ascii="Arial Narrow" w:hAnsi="Arial Narrow" w:cs="Times New Roman"/>
          <w:u w:val="single"/>
        </w:rPr>
        <w:t>expedida por e</w:t>
      </w:r>
      <w:r w:rsidR="006772FF" w:rsidRPr="004D4D11">
        <w:rPr>
          <w:rFonts w:ascii="Arial Narrow" w:hAnsi="Arial Narrow" w:cs="Times New Roman"/>
          <w:u w:val="single"/>
        </w:rPr>
        <w:t>l fabricante</w:t>
      </w:r>
      <w:r w:rsidR="00217B4D" w:rsidRPr="004D4D11">
        <w:rPr>
          <w:rFonts w:ascii="Arial Narrow" w:hAnsi="Arial Narrow" w:cs="Times New Roman"/>
        </w:rPr>
        <w:t xml:space="preserve">. </w:t>
      </w:r>
    </w:p>
    <w:p w:rsidR="00740713" w:rsidRPr="004D4D11" w:rsidRDefault="00740713" w:rsidP="00740713">
      <w:pPr>
        <w:pStyle w:val="ListParagraph"/>
        <w:numPr>
          <w:ilvl w:val="0"/>
          <w:numId w:val="19"/>
        </w:numPr>
        <w:spacing w:after="0"/>
        <w:jc w:val="both"/>
        <w:rPr>
          <w:rFonts w:ascii="Arial Narrow" w:hAnsi="Arial Narrow" w:cs="Times New Roman"/>
        </w:rPr>
      </w:pPr>
      <w:r w:rsidRPr="004D4D11">
        <w:rPr>
          <w:rFonts w:ascii="Arial Narrow" w:hAnsi="Arial Narrow" w:cs="Times New Roman"/>
        </w:rPr>
        <w:t>Sellado de las superficies con “</w:t>
      </w:r>
      <w:proofErr w:type="spellStart"/>
      <w:r w:rsidRPr="004D4D11">
        <w:rPr>
          <w:rFonts w:ascii="Arial Narrow" w:hAnsi="Arial Narrow" w:cs="Times New Roman"/>
        </w:rPr>
        <w:t>primers</w:t>
      </w:r>
      <w:proofErr w:type="spellEnd"/>
      <w:r w:rsidRPr="004D4D11">
        <w:rPr>
          <w:rFonts w:ascii="Arial Narrow" w:hAnsi="Arial Narrow" w:cs="Times New Roman"/>
        </w:rPr>
        <w:t>” antes de pintar.</w:t>
      </w:r>
    </w:p>
    <w:p w:rsidR="00740713" w:rsidRPr="004D4D11" w:rsidRDefault="00740713" w:rsidP="00740713">
      <w:pPr>
        <w:pStyle w:val="ListParagraph"/>
        <w:numPr>
          <w:ilvl w:val="0"/>
          <w:numId w:val="19"/>
        </w:numPr>
        <w:spacing w:after="0"/>
        <w:jc w:val="both"/>
        <w:rPr>
          <w:rFonts w:ascii="Arial Narrow" w:hAnsi="Arial Narrow" w:cs="Times New Roman"/>
        </w:rPr>
      </w:pPr>
      <w:r w:rsidRPr="004D4D11">
        <w:rPr>
          <w:rFonts w:ascii="Arial Narrow" w:hAnsi="Arial Narrow" w:cs="Times New Roman"/>
        </w:rPr>
        <w:t>Pintura anticorrosiva y esmalte superior en hierros y metales.</w:t>
      </w:r>
    </w:p>
    <w:p w:rsidR="00740713" w:rsidRDefault="00740713" w:rsidP="00740713">
      <w:pPr>
        <w:pStyle w:val="ListParagraph"/>
        <w:numPr>
          <w:ilvl w:val="0"/>
          <w:numId w:val="19"/>
        </w:numPr>
        <w:rPr>
          <w:rFonts w:ascii="Arial Narrow" w:hAnsi="Arial Narrow" w:cs="Times New Roman"/>
        </w:rPr>
      </w:pPr>
      <w:r w:rsidRPr="004D4D11">
        <w:rPr>
          <w:rFonts w:ascii="Arial Narrow" w:hAnsi="Arial Narrow" w:cs="Times New Roman"/>
        </w:rPr>
        <w:t>La pintura debe ser de una marca reconocida en el mercado.</w:t>
      </w:r>
    </w:p>
    <w:p w:rsidR="00E76258" w:rsidRPr="00E76258" w:rsidRDefault="00E76258" w:rsidP="00E76258">
      <w:pPr>
        <w:pStyle w:val="ListParagraph"/>
        <w:numPr>
          <w:ilvl w:val="0"/>
          <w:numId w:val="19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Los </w:t>
      </w:r>
      <w:r w:rsidRPr="004D4D11">
        <w:rPr>
          <w:rFonts w:ascii="Arial Narrow" w:hAnsi="Arial Narrow" w:cs="Times New Roman"/>
        </w:rPr>
        <w:t xml:space="preserve">tonos de colores (dentro de la carta de colores) </w:t>
      </w:r>
      <w:r w:rsidR="002F73AA">
        <w:rPr>
          <w:rFonts w:ascii="Arial Narrow" w:hAnsi="Arial Narrow" w:cs="Times New Roman"/>
        </w:rPr>
        <w:t xml:space="preserve">para acrílica y esmalte deben contener </w:t>
      </w:r>
      <w:r w:rsidRPr="004D4D11">
        <w:rPr>
          <w:rFonts w:ascii="Arial Narrow" w:hAnsi="Arial Narrow" w:cs="Times New Roman"/>
        </w:rPr>
        <w:t xml:space="preserve">los </w:t>
      </w:r>
      <w:r w:rsidRPr="00E76258">
        <w:rPr>
          <w:rFonts w:ascii="Arial Narrow" w:hAnsi="Arial Narrow" w:cs="Times New Roman"/>
          <w:b/>
        </w:rPr>
        <w:t xml:space="preserve">colores </w:t>
      </w:r>
      <w:r w:rsidRPr="00E76258">
        <w:rPr>
          <w:rFonts w:ascii="Arial Narrow" w:hAnsi="Arial Narrow" w:cs="Times New Roman"/>
          <w:b/>
          <w:u w:val="single"/>
        </w:rPr>
        <w:t>gris plata</w:t>
      </w:r>
      <w:r w:rsidRPr="00E76258">
        <w:rPr>
          <w:rFonts w:ascii="Arial Narrow" w:hAnsi="Arial Narrow" w:cs="Times New Roman"/>
          <w:b/>
        </w:rPr>
        <w:t xml:space="preserve"> y </w:t>
      </w:r>
      <w:r w:rsidRPr="00E76258">
        <w:rPr>
          <w:rFonts w:ascii="Arial Narrow" w:hAnsi="Arial Narrow" w:cs="Times New Roman"/>
          <w:b/>
          <w:u w:val="single"/>
        </w:rPr>
        <w:t>azul positivo</w:t>
      </w:r>
      <w:r w:rsidR="002F73AA">
        <w:rPr>
          <w:rFonts w:ascii="Arial Narrow" w:hAnsi="Arial Narrow" w:cs="Times New Roman"/>
          <w:b/>
          <w:u w:val="single"/>
        </w:rPr>
        <w:t xml:space="preserve">; </w:t>
      </w:r>
      <w:r w:rsidR="002F73AA" w:rsidRPr="002F73AA">
        <w:rPr>
          <w:rFonts w:ascii="Arial Narrow" w:hAnsi="Arial Narrow" w:cs="Times New Roman"/>
        </w:rPr>
        <w:t>y una segunda opción con</w:t>
      </w:r>
      <w:r w:rsidR="002F73AA" w:rsidRPr="00482549">
        <w:rPr>
          <w:rFonts w:ascii="Arial Narrow" w:hAnsi="Arial Narrow" w:cs="Times New Roman"/>
          <w:b/>
        </w:rPr>
        <w:t xml:space="preserve"> colores</w:t>
      </w:r>
      <w:r w:rsidR="002F73AA">
        <w:rPr>
          <w:rFonts w:ascii="Arial Narrow" w:hAnsi="Arial Narrow" w:cs="Times New Roman"/>
          <w:b/>
          <w:u w:val="single"/>
        </w:rPr>
        <w:t xml:space="preserve"> crema beige y colonial beige. </w:t>
      </w:r>
    </w:p>
    <w:p w:rsidR="004D4D11" w:rsidRPr="004D4D11" w:rsidRDefault="004D4D11" w:rsidP="004D4D11">
      <w:pPr>
        <w:pStyle w:val="ListParagraph"/>
        <w:ind w:left="1440"/>
        <w:rPr>
          <w:rFonts w:ascii="Arial Narrow" w:hAnsi="Arial Narrow" w:cs="Times New Roman"/>
        </w:rPr>
      </w:pPr>
    </w:p>
    <w:p w:rsidR="00482549" w:rsidRDefault="00740713" w:rsidP="00482549">
      <w:pPr>
        <w:pStyle w:val="ListParagraph"/>
        <w:numPr>
          <w:ilvl w:val="0"/>
          <w:numId w:val="21"/>
        </w:numPr>
        <w:spacing w:after="0"/>
        <w:jc w:val="both"/>
        <w:rPr>
          <w:rFonts w:ascii="Arial Narrow" w:hAnsi="Arial Narrow" w:cs="Times New Roman"/>
          <w:b/>
        </w:rPr>
      </w:pPr>
      <w:r w:rsidRPr="004D4D11">
        <w:rPr>
          <w:rFonts w:ascii="Arial Narrow" w:hAnsi="Arial Narrow" w:cs="Times New Roman"/>
          <w:b/>
        </w:rPr>
        <w:t xml:space="preserve">Muestra. </w:t>
      </w:r>
    </w:p>
    <w:p w:rsidR="00482549" w:rsidRDefault="00482549" w:rsidP="00482549">
      <w:pPr>
        <w:pStyle w:val="ListParagraph"/>
        <w:spacing w:after="0"/>
        <w:jc w:val="both"/>
        <w:rPr>
          <w:rFonts w:ascii="Arial Narrow" w:hAnsi="Arial Narrow" w:cs="Times New Roman"/>
          <w:b/>
        </w:rPr>
      </w:pPr>
    </w:p>
    <w:p w:rsidR="00482549" w:rsidRPr="00482549" w:rsidRDefault="00740713" w:rsidP="00482549">
      <w:pPr>
        <w:pStyle w:val="ListParagraph"/>
        <w:numPr>
          <w:ilvl w:val="0"/>
          <w:numId w:val="23"/>
        </w:numPr>
        <w:spacing w:after="0"/>
        <w:jc w:val="both"/>
        <w:rPr>
          <w:rFonts w:ascii="Arial Narrow" w:hAnsi="Arial Narrow" w:cs="Times New Roman"/>
          <w:b/>
        </w:rPr>
      </w:pPr>
      <w:r w:rsidRPr="00482549">
        <w:rPr>
          <w:rFonts w:ascii="Arial Narrow" w:hAnsi="Arial Narrow" w:cs="Times New Roman"/>
        </w:rPr>
        <w:t xml:space="preserve">Presentar dos (2) propuestas/muestras </w:t>
      </w:r>
      <w:r w:rsidR="00482549" w:rsidRPr="00482549">
        <w:rPr>
          <w:rFonts w:ascii="Arial Narrow" w:hAnsi="Arial Narrow" w:cs="Times New Roman"/>
        </w:rPr>
        <w:t>de carta de colores con: para acrílica y esmalte</w:t>
      </w:r>
      <w:r w:rsidR="00482549">
        <w:rPr>
          <w:rFonts w:ascii="Arial Narrow" w:hAnsi="Arial Narrow" w:cs="Times New Roman"/>
        </w:rPr>
        <w:t>,</w:t>
      </w:r>
      <w:r w:rsidR="00482549" w:rsidRPr="00482549">
        <w:rPr>
          <w:rFonts w:ascii="Arial Narrow" w:hAnsi="Arial Narrow" w:cs="Times New Roman"/>
        </w:rPr>
        <w:t xml:space="preserve"> </w:t>
      </w:r>
      <w:r w:rsidR="00482549" w:rsidRPr="00482549">
        <w:rPr>
          <w:rFonts w:ascii="Arial Narrow" w:hAnsi="Arial Narrow" w:cs="Times New Roman"/>
          <w:b/>
          <w:u w:val="single"/>
        </w:rPr>
        <w:t>gris plata</w:t>
      </w:r>
      <w:r w:rsidR="00482549" w:rsidRPr="00482549">
        <w:rPr>
          <w:rFonts w:ascii="Arial Narrow" w:hAnsi="Arial Narrow" w:cs="Times New Roman"/>
          <w:b/>
        </w:rPr>
        <w:t xml:space="preserve"> y </w:t>
      </w:r>
      <w:r w:rsidR="00482549" w:rsidRPr="00482549">
        <w:rPr>
          <w:rFonts w:ascii="Arial Narrow" w:hAnsi="Arial Narrow" w:cs="Times New Roman"/>
          <w:b/>
          <w:u w:val="single"/>
        </w:rPr>
        <w:t xml:space="preserve">azul positivo; </w:t>
      </w:r>
      <w:r w:rsidR="00482549" w:rsidRPr="00482549">
        <w:rPr>
          <w:rFonts w:ascii="Arial Narrow" w:hAnsi="Arial Narrow" w:cs="Times New Roman"/>
        </w:rPr>
        <w:t>y una segunda opción con</w:t>
      </w:r>
      <w:r w:rsidR="00482549" w:rsidRPr="00482549">
        <w:rPr>
          <w:rFonts w:ascii="Arial Narrow" w:hAnsi="Arial Narrow" w:cs="Times New Roman"/>
          <w:b/>
        </w:rPr>
        <w:t xml:space="preserve"> colores</w:t>
      </w:r>
      <w:r w:rsidR="00482549" w:rsidRPr="00482549">
        <w:rPr>
          <w:rFonts w:ascii="Arial Narrow" w:hAnsi="Arial Narrow" w:cs="Times New Roman"/>
          <w:b/>
          <w:u w:val="single"/>
        </w:rPr>
        <w:t xml:space="preserve"> crema beige y colonial beige. </w:t>
      </w:r>
    </w:p>
    <w:p w:rsidR="00740713" w:rsidRPr="004D4D11" w:rsidRDefault="00740713" w:rsidP="00740713">
      <w:pPr>
        <w:pStyle w:val="ListParagraph"/>
        <w:rPr>
          <w:rFonts w:ascii="Arial Narrow" w:hAnsi="Arial Narrow" w:cs="Times New Roman"/>
        </w:rPr>
      </w:pPr>
    </w:p>
    <w:p w:rsidR="004D4D11" w:rsidRPr="004D4D11" w:rsidRDefault="004D4D11" w:rsidP="004D4D11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 Narrow" w:hAnsi="Arial Narrow" w:cs="Times New Roman"/>
          <w:b/>
        </w:rPr>
      </w:pPr>
      <w:r w:rsidRPr="004D4D11">
        <w:rPr>
          <w:rFonts w:ascii="Arial Narrow" w:hAnsi="Arial Narrow" w:cs="Times New Roman"/>
          <w:b/>
        </w:rPr>
        <w:t>Garantía.</w:t>
      </w:r>
      <w:bookmarkStart w:id="0" w:name="_GoBack"/>
      <w:bookmarkEnd w:id="0"/>
    </w:p>
    <w:p w:rsidR="004D4D11" w:rsidRPr="004D4D11" w:rsidRDefault="004D4D11" w:rsidP="004D4D11">
      <w:pPr>
        <w:pStyle w:val="ListParagraph"/>
        <w:spacing w:after="0" w:line="240" w:lineRule="auto"/>
        <w:jc w:val="both"/>
        <w:rPr>
          <w:rFonts w:ascii="Arial Narrow" w:hAnsi="Arial Narrow" w:cs="Times New Roman"/>
        </w:rPr>
      </w:pPr>
    </w:p>
    <w:p w:rsidR="004D4D11" w:rsidRPr="004D4D11" w:rsidRDefault="004D4D11" w:rsidP="004D4D11">
      <w:pPr>
        <w:pStyle w:val="ListParagraph"/>
        <w:spacing w:after="0" w:line="240" w:lineRule="auto"/>
        <w:ind w:left="1416"/>
        <w:jc w:val="both"/>
        <w:rPr>
          <w:rFonts w:ascii="Arial Narrow" w:hAnsi="Arial Narrow" w:cs="Times New Roman"/>
        </w:rPr>
      </w:pPr>
      <w:r w:rsidRPr="004D4D11">
        <w:rPr>
          <w:rFonts w:ascii="Arial Narrow" w:hAnsi="Arial Narrow" w:cs="Times New Roman"/>
          <w:lang w:val="es-ES"/>
        </w:rPr>
        <w:t xml:space="preserve">El oferente deberá otorgar una garantía mínima de 18 meses, en la </w:t>
      </w:r>
      <w:r w:rsidRPr="004D4D11">
        <w:rPr>
          <w:rFonts w:ascii="Arial Narrow" w:hAnsi="Arial Narrow" w:cs="Times New Roman"/>
        </w:rPr>
        <w:t xml:space="preserve">pintura y los trabajos de mantenimiento y reparación realizados. </w:t>
      </w:r>
    </w:p>
    <w:p w:rsidR="00740713" w:rsidRPr="004D4D11" w:rsidRDefault="00740713" w:rsidP="00740713">
      <w:pPr>
        <w:rPr>
          <w:rFonts w:ascii="Arial Narrow" w:hAnsi="Arial Narrow" w:cs="Times New Roman"/>
        </w:rPr>
      </w:pPr>
    </w:p>
    <w:p w:rsidR="00740713" w:rsidRPr="00740713" w:rsidRDefault="00740713" w:rsidP="00740713">
      <w:pPr>
        <w:rPr>
          <w:rFonts w:ascii="Times New Roman" w:hAnsi="Times New Roman" w:cs="Times New Roman"/>
          <w:sz w:val="24"/>
          <w:szCs w:val="24"/>
        </w:rPr>
      </w:pPr>
    </w:p>
    <w:p w:rsidR="00740713" w:rsidRPr="00740713" w:rsidRDefault="00740713" w:rsidP="00740713">
      <w:pPr>
        <w:rPr>
          <w:rFonts w:ascii="Times New Roman" w:hAnsi="Times New Roman" w:cs="Times New Roman"/>
          <w:sz w:val="24"/>
          <w:szCs w:val="24"/>
        </w:rPr>
      </w:pPr>
    </w:p>
    <w:p w:rsidR="0048440A" w:rsidRPr="0048440A" w:rsidRDefault="0048440A" w:rsidP="0048440A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sectPr w:rsidR="0048440A" w:rsidRPr="0048440A" w:rsidSect="00740713">
      <w:headerReference w:type="default" r:id="rId9"/>
      <w:footerReference w:type="default" r:id="rId10"/>
      <w:footerReference w:type="first" r:id="rId11"/>
      <w:pgSz w:w="12240" w:h="15840"/>
      <w:pgMar w:top="284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1FF" w:rsidRDefault="008251FF" w:rsidP="0087500F">
      <w:pPr>
        <w:spacing w:after="0" w:line="240" w:lineRule="auto"/>
      </w:pPr>
      <w:r>
        <w:separator/>
      </w:r>
    </w:p>
  </w:endnote>
  <w:endnote w:type="continuationSeparator" w:id="0">
    <w:p w:rsidR="008251FF" w:rsidRDefault="008251FF" w:rsidP="00875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594" w:rsidRPr="00C42594" w:rsidRDefault="00C42594" w:rsidP="00C42594">
    <w:pPr>
      <w:pStyle w:val="Footer"/>
      <w:jc w:val="center"/>
      <w:rPr>
        <w:rFonts w:ascii="Century" w:hAnsi="Century"/>
        <w:sz w:val="16"/>
        <w:szCs w:val="16"/>
        <w:lang w:val="es-ES"/>
      </w:rPr>
    </w:pPr>
    <w:r w:rsidRPr="00C42594">
      <w:rPr>
        <w:rFonts w:ascii="Century" w:hAnsi="Century"/>
        <w:sz w:val="16"/>
        <w:szCs w:val="16"/>
        <w:lang w:val="es-ES"/>
      </w:rPr>
      <w:t>Av. Jiménez Moya, Centro de los Héroes de Constanza, Maimón y Estero Hondo, La Feria, Santo Domingo de Guzmán, Distrito Nacional, República Dominicana. Tel. :(809) 535-4404. Fax: (809) 534-5601. http//www.ministeriodetrbajo.gob.do</w:t>
    </w:r>
  </w:p>
  <w:p w:rsidR="00C42594" w:rsidRDefault="00C425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594" w:rsidRPr="00C42594" w:rsidRDefault="00C42594" w:rsidP="00C42594">
    <w:pPr>
      <w:pStyle w:val="Footer"/>
      <w:jc w:val="center"/>
      <w:rPr>
        <w:rFonts w:ascii="Century" w:hAnsi="Century"/>
        <w:sz w:val="16"/>
        <w:szCs w:val="16"/>
        <w:lang w:val="es-ES"/>
      </w:rPr>
    </w:pPr>
    <w:r w:rsidRPr="00C42594">
      <w:rPr>
        <w:rFonts w:ascii="Century" w:hAnsi="Century"/>
        <w:sz w:val="16"/>
        <w:szCs w:val="16"/>
        <w:lang w:val="es-ES"/>
      </w:rPr>
      <w:t>Av. Jiménez Moya, Centro de los Héroes de Constanza, Maimón y Estero Hondo, La Feria, Santo Domingo de Guzmán, Distrito Nacional, República Dominicana. Tel. :(809) 535-4404. Fax: (809) 534-5601. http//www.ministeriodetrbajo.gob.do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1FF" w:rsidRDefault="008251FF" w:rsidP="0087500F">
      <w:pPr>
        <w:spacing w:after="0" w:line="240" w:lineRule="auto"/>
      </w:pPr>
      <w:r>
        <w:separator/>
      </w:r>
    </w:p>
  </w:footnote>
  <w:footnote w:type="continuationSeparator" w:id="0">
    <w:p w:rsidR="008251FF" w:rsidRDefault="008251FF" w:rsidP="00875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116" w:rsidRDefault="00963116" w:rsidP="00963116">
    <w:pPr>
      <w:spacing w:after="0" w:line="240" w:lineRule="auto"/>
      <w:jc w:val="right"/>
      <w:rPr>
        <w:rFonts w:ascii="Times New Roman" w:hAnsi="Times New Roman" w:cs="Times New Roman"/>
        <w:b/>
        <w:i/>
        <w:sz w:val="16"/>
        <w:szCs w:val="16"/>
        <w:lang w:val="es-MX"/>
      </w:rPr>
    </w:pPr>
  </w:p>
  <w:p w:rsidR="00963116" w:rsidRDefault="00963116" w:rsidP="00963116">
    <w:pPr>
      <w:spacing w:after="0" w:line="240" w:lineRule="auto"/>
      <w:jc w:val="right"/>
      <w:rPr>
        <w:rFonts w:ascii="Times New Roman" w:hAnsi="Times New Roman" w:cs="Times New Roman"/>
        <w:b/>
        <w:i/>
        <w:sz w:val="16"/>
        <w:szCs w:val="16"/>
        <w:lang w:val="es-MX"/>
      </w:rPr>
    </w:pPr>
  </w:p>
  <w:p w:rsidR="00963116" w:rsidRPr="0087500F" w:rsidRDefault="00740713" w:rsidP="00963116">
    <w:pPr>
      <w:spacing w:after="0" w:line="240" w:lineRule="auto"/>
      <w:jc w:val="right"/>
      <w:rPr>
        <w:rFonts w:ascii="Times New Roman" w:hAnsi="Times New Roman" w:cs="Times New Roman"/>
        <w:b/>
        <w:i/>
        <w:sz w:val="16"/>
        <w:szCs w:val="16"/>
        <w:lang w:val="es-MX"/>
      </w:rPr>
    </w:pPr>
    <w:r>
      <w:rPr>
        <w:rFonts w:ascii="Times New Roman" w:hAnsi="Times New Roman" w:cs="Times New Roman"/>
        <w:b/>
        <w:i/>
        <w:sz w:val="16"/>
        <w:szCs w:val="16"/>
        <w:lang w:val="es-MX"/>
      </w:rPr>
      <w:t>COMPARACIÓN DE PRECIOS TRABAJO-CCC-CP-2018-0002</w:t>
    </w:r>
  </w:p>
  <w:p w:rsidR="00963116" w:rsidRPr="006772FF" w:rsidRDefault="006772FF" w:rsidP="00963116">
    <w:pPr>
      <w:pStyle w:val="Header"/>
      <w:jc w:val="right"/>
      <w:rPr>
        <w:u w:val="single"/>
      </w:rPr>
    </w:pPr>
    <w:r>
      <w:rPr>
        <w:rFonts w:ascii="Times New Roman" w:eastAsia="Calibri" w:hAnsi="Times New Roman" w:cs="Times New Roman"/>
        <w:b/>
        <w:i/>
        <w:sz w:val="16"/>
        <w:szCs w:val="16"/>
      </w:rPr>
      <w:t>________________________________________________________________</w:t>
    </w:r>
    <w:r w:rsidR="00740713" w:rsidRPr="006772FF">
      <w:rPr>
        <w:rFonts w:ascii="Times New Roman" w:eastAsia="Calibri" w:hAnsi="Times New Roman" w:cs="Times New Roman"/>
        <w:b/>
        <w:i/>
        <w:sz w:val="16"/>
        <w:szCs w:val="16"/>
        <w:u w:val="single"/>
      </w:rPr>
      <w:t>FICHA TÉCNICA/ESPECIFICACIONES TÉCNICAS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74BD"/>
    <w:multiLevelType w:val="hybridMultilevel"/>
    <w:tmpl w:val="BD7A68DE"/>
    <w:lvl w:ilvl="0" w:tplc="818087AC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10"/>
        </w:tabs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0"/>
        </w:tabs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0"/>
        </w:tabs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70"/>
        </w:tabs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0"/>
        </w:tabs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0"/>
        </w:tabs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30"/>
        </w:tabs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50"/>
        </w:tabs>
        <w:ind w:left="6950" w:hanging="180"/>
      </w:pPr>
    </w:lvl>
  </w:abstractNum>
  <w:abstractNum w:abstractNumId="1">
    <w:nsid w:val="1E9D24F0"/>
    <w:multiLevelType w:val="multilevel"/>
    <w:tmpl w:val="4E021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F8A2DBE"/>
    <w:multiLevelType w:val="hybridMultilevel"/>
    <w:tmpl w:val="C7DCC82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505E7F"/>
    <w:multiLevelType w:val="multilevel"/>
    <w:tmpl w:val="4E021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27005F4F"/>
    <w:multiLevelType w:val="hybridMultilevel"/>
    <w:tmpl w:val="4D7E3D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723E0"/>
    <w:multiLevelType w:val="multilevel"/>
    <w:tmpl w:val="4E021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2E5D56D3"/>
    <w:multiLevelType w:val="hybridMultilevel"/>
    <w:tmpl w:val="2DE87FD0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112025"/>
    <w:multiLevelType w:val="hybridMultilevel"/>
    <w:tmpl w:val="B468AC6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2A449DB"/>
    <w:multiLevelType w:val="hybridMultilevel"/>
    <w:tmpl w:val="69CC22EA"/>
    <w:lvl w:ilvl="0" w:tplc="F90AAD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D343F"/>
    <w:multiLevelType w:val="hybridMultilevel"/>
    <w:tmpl w:val="BD7A68DE"/>
    <w:lvl w:ilvl="0" w:tplc="818087AC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10"/>
        </w:tabs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0"/>
        </w:tabs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0"/>
        </w:tabs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70"/>
        </w:tabs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0"/>
        </w:tabs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0"/>
        </w:tabs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30"/>
        </w:tabs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50"/>
        </w:tabs>
        <w:ind w:left="6950" w:hanging="180"/>
      </w:pPr>
    </w:lvl>
  </w:abstractNum>
  <w:abstractNum w:abstractNumId="10">
    <w:nsid w:val="4CE243CB"/>
    <w:multiLevelType w:val="multilevel"/>
    <w:tmpl w:val="4E021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50895533"/>
    <w:multiLevelType w:val="hybridMultilevel"/>
    <w:tmpl w:val="A1CCB6F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774DB"/>
    <w:multiLevelType w:val="multilevel"/>
    <w:tmpl w:val="4E021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567D4AE4"/>
    <w:multiLevelType w:val="hybridMultilevel"/>
    <w:tmpl w:val="9C969F02"/>
    <w:lvl w:ilvl="0" w:tplc="0409001B">
      <w:start w:val="1"/>
      <w:numFmt w:val="lowerRoman"/>
      <w:lvlText w:val="%1."/>
      <w:lvlJc w:val="righ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57D720AE"/>
    <w:multiLevelType w:val="hybridMultilevel"/>
    <w:tmpl w:val="BD7A68DE"/>
    <w:lvl w:ilvl="0" w:tplc="818087AC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10"/>
        </w:tabs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0"/>
        </w:tabs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0"/>
        </w:tabs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70"/>
        </w:tabs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0"/>
        </w:tabs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0"/>
        </w:tabs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30"/>
        </w:tabs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50"/>
        </w:tabs>
        <w:ind w:left="6950" w:hanging="180"/>
      </w:pPr>
    </w:lvl>
  </w:abstractNum>
  <w:abstractNum w:abstractNumId="15">
    <w:nsid w:val="5D6950E5"/>
    <w:multiLevelType w:val="multilevel"/>
    <w:tmpl w:val="35FEB6FA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E407D34"/>
    <w:multiLevelType w:val="hybridMultilevel"/>
    <w:tmpl w:val="BD7A68DE"/>
    <w:lvl w:ilvl="0" w:tplc="818087AC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10"/>
        </w:tabs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0"/>
        </w:tabs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0"/>
        </w:tabs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70"/>
        </w:tabs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0"/>
        </w:tabs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0"/>
        </w:tabs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30"/>
        </w:tabs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50"/>
        </w:tabs>
        <w:ind w:left="6950" w:hanging="180"/>
      </w:pPr>
    </w:lvl>
  </w:abstractNum>
  <w:abstractNum w:abstractNumId="17">
    <w:nsid w:val="66231C99"/>
    <w:multiLevelType w:val="multilevel"/>
    <w:tmpl w:val="4E021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6CAE2CF6"/>
    <w:multiLevelType w:val="hybridMultilevel"/>
    <w:tmpl w:val="BBC87AFA"/>
    <w:lvl w:ilvl="0" w:tplc="6E2063E6">
      <w:start w:val="1"/>
      <w:numFmt w:val="lowerRoman"/>
      <w:lvlText w:val="%1."/>
      <w:lvlJc w:val="left"/>
      <w:pPr>
        <w:ind w:left="720" w:hanging="360"/>
      </w:pPr>
      <w:rPr>
        <w:rFonts w:ascii="Book Antiqua" w:eastAsiaTheme="minorEastAsia" w:hAnsi="Book Antiqua" w:cstheme="minorBidi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A774A1"/>
    <w:multiLevelType w:val="hybridMultilevel"/>
    <w:tmpl w:val="376C945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87C072C"/>
    <w:multiLevelType w:val="multilevel"/>
    <w:tmpl w:val="4E021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>
    <w:nsid w:val="7BBE02A7"/>
    <w:multiLevelType w:val="multilevel"/>
    <w:tmpl w:val="4E021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>
    <w:nsid w:val="7E0E2141"/>
    <w:multiLevelType w:val="multilevel"/>
    <w:tmpl w:val="4E021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22"/>
  </w:num>
  <w:num w:numId="5">
    <w:abstractNumId w:val="21"/>
  </w:num>
  <w:num w:numId="6">
    <w:abstractNumId w:val="20"/>
  </w:num>
  <w:num w:numId="7">
    <w:abstractNumId w:val="17"/>
  </w:num>
  <w:num w:numId="8">
    <w:abstractNumId w:val="14"/>
  </w:num>
  <w:num w:numId="9">
    <w:abstractNumId w:val="16"/>
  </w:num>
  <w:num w:numId="10">
    <w:abstractNumId w:val="0"/>
  </w:num>
  <w:num w:numId="11">
    <w:abstractNumId w:val="3"/>
  </w:num>
  <w:num w:numId="12">
    <w:abstractNumId w:val="10"/>
  </w:num>
  <w:num w:numId="13">
    <w:abstractNumId w:val="12"/>
  </w:num>
  <w:num w:numId="14">
    <w:abstractNumId w:val="8"/>
  </w:num>
  <w:num w:numId="15">
    <w:abstractNumId w:val="13"/>
  </w:num>
  <w:num w:numId="16">
    <w:abstractNumId w:val="2"/>
  </w:num>
  <w:num w:numId="17">
    <w:abstractNumId w:val="7"/>
  </w:num>
  <w:num w:numId="18">
    <w:abstractNumId w:val="18"/>
  </w:num>
  <w:num w:numId="19">
    <w:abstractNumId w:val="19"/>
  </w:num>
  <w:num w:numId="20">
    <w:abstractNumId w:val="4"/>
  </w:num>
  <w:num w:numId="21">
    <w:abstractNumId w:val="11"/>
  </w:num>
  <w:num w:numId="22">
    <w:abstractNumId w:val="15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67D"/>
    <w:rsid w:val="00007D3E"/>
    <w:rsid w:val="00016C69"/>
    <w:rsid w:val="00023FED"/>
    <w:rsid w:val="00054AA3"/>
    <w:rsid w:val="0005539E"/>
    <w:rsid w:val="00082EF0"/>
    <w:rsid w:val="00083123"/>
    <w:rsid w:val="000850D4"/>
    <w:rsid w:val="000E280D"/>
    <w:rsid w:val="00152361"/>
    <w:rsid w:val="00165AB3"/>
    <w:rsid w:val="001818B7"/>
    <w:rsid w:val="00197C40"/>
    <w:rsid w:val="001A78E4"/>
    <w:rsid w:val="001B0D0B"/>
    <w:rsid w:val="001B4241"/>
    <w:rsid w:val="001F47D7"/>
    <w:rsid w:val="00202C8D"/>
    <w:rsid w:val="00207B92"/>
    <w:rsid w:val="00217B4D"/>
    <w:rsid w:val="00287EC1"/>
    <w:rsid w:val="002F73AA"/>
    <w:rsid w:val="003068BB"/>
    <w:rsid w:val="0032542C"/>
    <w:rsid w:val="00375262"/>
    <w:rsid w:val="003C4885"/>
    <w:rsid w:val="00456605"/>
    <w:rsid w:val="00480445"/>
    <w:rsid w:val="00482549"/>
    <w:rsid w:val="0048319B"/>
    <w:rsid w:val="0048440A"/>
    <w:rsid w:val="00497290"/>
    <w:rsid w:val="004A1B91"/>
    <w:rsid w:val="004A594E"/>
    <w:rsid w:val="004D4D11"/>
    <w:rsid w:val="00506278"/>
    <w:rsid w:val="0058321C"/>
    <w:rsid w:val="005937F9"/>
    <w:rsid w:val="005A2956"/>
    <w:rsid w:val="005B702F"/>
    <w:rsid w:val="005E34AD"/>
    <w:rsid w:val="0063677C"/>
    <w:rsid w:val="006772FF"/>
    <w:rsid w:val="00694313"/>
    <w:rsid w:val="006E1234"/>
    <w:rsid w:val="006F5C34"/>
    <w:rsid w:val="00710EED"/>
    <w:rsid w:val="007122F3"/>
    <w:rsid w:val="00725C4C"/>
    <w:rsid w:val="00740713"/>
    <w:rsid w:val="007A65C3"/>
    <w:rsid w:val="007F492C"/>
    <w:rsid w:val="008251FF"/>
    <w:rsid w:val="008500C4"/>
    <w:rsid w:val="008577B5"/>
    <w:rsid w:val="0087500F"/>
    <w:rsid w:val="00924942"/>
    <w:rsid w:val="009515E8"/>
    <w:rsid w:val="00953D00"/>
    <w:rsid w:val="00963116"/>
    <w:rsid w:val="0096321E"/>
    <w:rsid w:val="009659A3"/>
    <w:rsid w:val="00967894"/>
    <w:rsid w:val="00971731"/>
    <w:rsid w:val="009B15C2"/>
    <w:rsid w:val="009E1C12"/>
    <w:rsid w:val="00A53DD2"/>
    <w:rsid w:val="00AB44C9"/>
    <w:rsid w:val="00AB5589"/>
    <w:rsid w:val="00AF511A"/>
    <w:rsid w:val="00B14004"/>
    <w:rsid w:val="00B24580"/>
    <w:rsid w:val="00B67C16"/>
    <w:rsid w:val="00C0567D"/>
    <w:rsid w:val="00C152A8"/>
    <w:rsid w:val="00C32BB8"/>
    <w:rsid w:val="00C42594"/>
    <w:rsid w:val="00C70642"/>
    <w:rsid w:val="00CA60A9"/>
    <w:rsid w:val="00CA72C3"/>
    <w:rsid w:val="00CB1479"/>
    <w:rsid w:val="00D75D8C"/>
    <w:rsid w:val="00D816D0"/>
    <w:rsid w:val="00D86336"/>
    <w:rsid w:val="00DC715E"/>
    <w:rsid w:val="00DD6055"/>
    <w:rsid w:val="00DD722F"/>
    <w:rsid w:val="00DF6059"/>
    <w:rsid w:val="00DF7398"/>
    <w:rsid w:val="00E31AA2"/>
    <w:rsid w:val="00E50A0F"/>
    <w:rsid w:val="00E76258"/>
    <w:rsid w:val="00EC2DD1"/>
    <w:rsid w:val="00F0028D"/>
    <w:rsid w:val="00F2683D"/>
    <w:rsid w:val="00F45A9B"/>
    <w:rsid w:val="00F928D5"/>
    <w:rsid w:val="00FB5190"/>
    <w:rsid w:val="00FD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123"/>
    <w:pPr>
      <w:ind w:left="720"/>
      <w:contextualSpacing/>
    </w:pPr>
  </w:style>
  <w:style w:type="table" w:styleId="TableGrid">
    <w:name w:val="Table Grid"/>
    <w:basedOn w:val="TableNormal"/>
    <w:uiPriority w:val="59"/>
    <w:rsid w:val="00951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875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7500F"/>
  </w:style>
  <w:style w:type="paragraph" w:styleId="Footer">
    <w:name w:val="footer"/>
    <w:basedOn w:val="Normal"/>
    <w:link w:val="FooterChar"/>
    <w:uiPriority w:val="99"/>
    <w:unhideWhenUsed/>
    <w:rsid w:val="00875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00F"/>
  </w:style>
  <w:style w:type="paragraph" w:styleId="BalloonText">
    <w:name w:val="Balloon Text"/>
    <w:basedOn w:val="Normal"/>
    <w:link w:val="BalloonTextChar"/>
    <w:uiPriority w:val="99"/>
    <w:semiHidden/>
    <w:unhideWhenUsed/>
    <w:rsid w:val="0096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9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66A4C-D685-4662-BB98-13321C84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706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isantos</dc:creator>
  <cp:lastModifiedBy>amarilis_mercedes</cp:lastModifiedBy>
  <cp:revision>2</cp:revision>
  <cp:lastPrinted>2014-04-08T14:32:00Z</cp:lastPrinted>
  <dcterms:created xsi:type="dcterms:W3CDTF">2018-04-26T18:50:00Z</dcterms:created>
  <dcterms:modified xsi:type="dcterms:W3CDTF">2018-04-26T18:50:00Z</dcterms:modified>
</cp:coreProperties>
</file>